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czynniki kształtujące kursy walut na świecie</w:t>
      </w:r>
    </w:p>
    <w:p>
      <w:pPr>
        <w:spacing w:before="0" w:after="500" w:line="264" w:lineRule="auto"/>
      </w:pPr>
      <w:r>
        <w:rPr>
          <w:rFonts w:ascii="calibri" w:hAnsi="calibri" w:eastAsia="calibri" w:cs="calibri"/>
          <w:sz w:val="36"/>
          <w:szCs w:val="36"/>
          <w:b/>
        </w:rPr>
        <w:t xml:space="preserve">Kursy walutowe są fundamentalnym elementem globalnej gospodarki, wpływając na handel międzynarodowy, inwestycje, turystykę oraz stabilność finansową państw. Zrozumienie mechanizmów, które determinują wartości walut, jest niezbędne dla przedsiębiorców, inwestorów, analityków finansowych oraz decydentów politycznych. W poniższym artykule szczegółowo omówimy najważniejsze czynniki wpływające na kursy walut na świecie, ilustrując je przykładami i analizami.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Polityka monetarna i stopy procentowe</w:t>
      </w:r>
    </w:p>
    <w:p>
      <w:pPr>
        <w:spacing w:before="0" w:after="300"/>
      </w:pPr>
      <w:r>
        <w:rPr>
          <w:rFonts w:ascii="calibri" w:hAnsi="calibri" w:eastAsia="calibri" w:cs="calibri"/>
          <w:sz w:val="24"/>
          <w:szCs w:val="24"/>
        </w:rPr>
        <w:t xml:space="preserve">Polityka monetarna prowadzona przez banki centralne jest jednym z najważniejszych czynników determinujących kursy walut. Decyzje dotyczące stóp procentowych mają bezpośredni wpływ na atrakcyjność danej waluty dla inwestorów zagranicznych.</w:t>
      </w:r>
    </w:p>
    <w:p>
      <w:pPr>
        <w:spacing w:before="0" w:after="300"/>
      </w:pPr>
      <w:r>
        <w:rPr>
          <w:rFonts w:ascii="calibri" w:hAnsi="calibri" w:eastAsia="calibri" w:cs="calibri"/>
          <w:sz w:val="24"/>
          <w:szCs w:val="24"/>
          <w:b/>
        </w:rPr>
        <w:t xml:space="preserve">Stopy procentowe a atrakcyjność waluty:</w:t>
      </w:r>
      <w:r>
        <w:rPr>
          <w:rFonts w:ascii="calibri" w:hAnsi="calibri" w:eastAsia="calibri" w:cs="calibri"/>
          <w:sz w:val="24"/>
          <w:szCs w:val="24"/>
        </w:rPr>
        <w:t xml:space="preserve"> Wyższe stopy procentowe zazwyczaj przyciągają kapitał zagraniczny, ponieważ inwestorzy poszukują lepszych zwrotów z lokat w danej walucie. Przykładem może być decyzja Rezerwy Federalnej (Fed) USA o podniesieniu stóp procentowych w 2023 roku, co przyczyniło się do umocnienia dolara amerykańskiego względem innych walut.</w:t>
      </w:r>
    </w:p>
    <w:p>
      <w:pPr>
        <w:spacing w:before="0" w:after="300"/>
      </w:pPr>
      <w:r>
        <w:rPr>
          <w:rFonts w:ascii="calibri" w:hAnsi="calibri" w:eastAsia="calibri" w:cs="calibri"/>
          <w:sz w:val="24"/>
          <w:szCs w:val="24"/>
          <w:b/>
        </w:rPr>
        <w:t xml:space="preserve">Polityka luzowania ilościowego (Quantitative Easing):</w:t>
      </w:r>
      <w:r>
        <w:rPr>
          <w:rFonts w:ascii="calibri" w:hAnsi="calibri" w:eastAsia="calibri" w:cs="calibri"/>
          <w:sz w:val="24"/>
          <w:szCs w:val="24"/>
        </w:rPr>
        <w:t xml:space="preserve"> W sytuacjach kryzysowych banki centralne mogą stosować politykę luzowania ilościowego, zwiększając podaż pieniądza w gospodarce. Działania te mogą prowadzić do deprecjacji waluty, jak miało to miejsce w przypadku euro po kryzysie finansowym 2008 roku, kiedy Europejski Bank Centralny wprowadził programy QE.</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Stan gospodarki kraju</w:t>
      </w:r>
    </w:p>
    <w:p>
      <w:pPr>
        <w:spacing w:before="0" w:after="300"/>
      </w:pPr>
      <w:r>
        <w:rPr>
          <w:rFonts w:ascii="calibri" w:hAnsi="calibri" w:eastAsia="calibri" w:cs="calibri"/>
          <w:sz w:val="24"/>
          <w:szCs w:val="24"/>
        </w:rPr>
        <w:t xml:space="preserve">Stan gospodarki kraju, mierzony wskaźnikami takimi jak PKB, poziom bezrobocia czy inflacja, ma kluczowy wpływ na wartość waluty.</w:t>
      </w:r>
    </w:p>
    <w:p>
      <w:pPr>
        <w:spacing w:before="0" w:after="300"/>
      </w:pPr>
      <w:r>
        <w:rPr>
          <w:rFonts w:ascii="calibri" w:hAnsi="calibri" w:eastAsia="calibri" w:cs="calibri"/>
          <w:sz w:val="24"/>
          <w:szCs w:val="24"/>
          <w:b/>
        </w:rPr>
        <w:t xml:space="preserve">Wzrost gospodarczy:</w:t>
      </w:r>
      <w:r>
        <w:rPr>
          <w:rFonts w:ascii="calibri" w:hAnsi="calibri" w:eastAsia="calibri" w:cs="calibri"/>
          <w:sz w:val="24"/>
          <w:szCs w:val="24"/>
        </w:rPr>
        <w:t xml:space="preserve"> Silny wzrost PKB sygnalizuje zdrową gospodarkę, co przyciąga inwestorów zagranicznych. Na przykład szybki wzrost gospodarczy Chin w ostatnich dekadach przyczynił się do wzmocnienia juana chińskiego.</w:t>
      </w:r>
    </w:p>
    <w:p>
      <w:pPr>
        <w:spacing w:before="0" w:after="300"/>
      </w:pPr>
      <w:r>
        <w:rPr>
          <w:rFonts w:ascii="calibri" w:hAnsi="calibri" w:eastAsia="calibri" w:cs="calibri"/>
          <w:sz w:val="24"/>
          <w:szCs w:val="24"/>
          <w:b/>
        </w:rPr>
        <w:t xml:space="preserve">Bezrobocie:</w:t>
      </w:r>
      <w:r>
        <w:rPr>
          <w:rFonts w:ascii="calibri" w:hAnsi="calibri" w:eastAsia="calibri" w:cs="calibri"/>
          <w:sz w:val="24"/>
          <w:szCs w:val="24"/>
        </w:rPr>
        <w:t xml:space="preserve"> Niski poziom bezrobocia świadczy o efektywności rynku pracy i stabilności gospodarczej, co pozytywnie wpływa na kurs waluty. Przeciwnie, wysoki poziom bezrobocia może obniżyć zaufanie inwestorów i osłabić walutę.</w:t>
      </w:r>
    </w:p>
    <w:p>
      <w:pPr>
        <w:spacing w:before="0" w:after="300"/>
      </w:pPr>
      <w:r>
        <w:rPr>
          <w:rFonts w:ascii="calibri" w:hAnsi="calibri" w:eastAsia="calibri" w:cs="calibri"/>
          <w:sz w:val="24"/>
          <w:szCs w:val="24"/>
          <w:b/>
        </w:rPr>
        <w:t xml:space="preserve">Inflacja:</w:t>
      </w:r>
      <w:r>
        <w:rPr>
          <w:rFonts w:ascii="calibri" w:hAnsi="calibri" w:eastAsia="calibri" w:cs="calibri"/>
          <w:sz w:val="24"/>
          <w:szCs w:val="24"/>
        </w:rPr>
        <w:t xml:space="preserve"> Stabilna i umiarkowana inflacja jest korzystna dla waluty, ponieważ utrzymuje siłę nabywczą i przewidywalność gospodarczą. Wysoka inflacja natomiast może prowadzić do deprecjacji waluty, jak miało to miejsce w Zimbabwe w latach 2000-tych.</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Równowaga handlowa</w:t>
      </w:r>
    </w:p>
    <w:p>
      <w:pPr>
        <w:spacing w:before="0" w:after="300"/>
      </w:pPr>
      <w:r>
        <w:rPr>
          <w:rFonts w:ascii="calibri" w:hAnsi="calibri" w:eastAsia="calibri" w:cs="calibri"/>
          <w:sz w:val="24"/>
          <w:szCs w:val="24"/>
        </w:rPr>
        <w:t xml:space="preserve">Saldo handlu międzynarodowego, czyli różnica między eksportem a importem, ma bezpośredni wpływ na kurs waluty.</w:t>
      </w:r>
    </w:p>
    <w:p>
      <w:pPr>
        <w:spacing w:before="0" w:after="300"/>
      </w:pPr>
      <w:r>
        <w:rPr>
          <w:rFonts w:ascii="calibri" w:hAnsi="calibri" w:eastAsia="calibri" w:cs="calibri"/>
          <w:sz w:val="24"/>
          <w:szCs w:val="24"/>
          <w:b/>
        </w:rPr>
        <w:t xml:space="preserve">Nadwyżka handlowa:</w:t>
      </w:r>
      <w:r>
        <w:rPr>
          <w:rFonts w:ascii="calibri" w:hAnsi="calibri" w:eastAsia="calibri" w:cs="calibri"/>
          <w:sz w:val="24"/>
          <w:szCs w:val="24"/>
        </w:rPr>
        <w:t xml:space="preserve"> Kraj, który eksportuje więcej niż importuje, generuje popyt na swoją walutę, co może prowadzić do jej aprecjacji. Przykładem jest Japonia, która przez długi czas utrzymywała nadwyżkę handlową, wspierając wartość jena.</w:t>
      </w:r>
    </w:p>
    <w:p>
      <w:pPr>
        <w:spacing w:before="0" w:after="300"/>
      </w:pPr>
      <w:r>
        <w:rPr>
          <w:rFonts w:ascii="calibri" w:hAnsi="calibri" w:eastAsia="calibri" w:cs="calibri"/>
          <w:sz w:val="24"/>
          <w:szCs w:val="24"/>
          <w:b/>
        </w:rPr>
        <w:t xml:space="preserve">Deficyt handlowy:</w:t>
      </w:r>
      <w:r>
        <w:rPr>
          <w:rFonts w:ascii="calibri" w:hAnsi="calibri" w:eastAsia="calibri" w:cs="calibri"/>
          <w:sz w:val="24"/>
          <w:szCs w:val="24"/>
        </w:rPr>
        <w:t xml:space="preserve"> Kraj z deficytem handlowym musi importować więcej niż eksportuje, co zwiększa podaż jego waluty na rynku międzynarodowym i może prowadzić do jej deprecjacji. USA często notują deficyt handlowy, co wpływa na słabość dolara w dłuższej perspektywie.</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Stabilność polityczna i ryzyko geopolityczne</w:t>
      </w:r>
    </w:p>
    <w:p>
      <w:pPr>
        <w:spacing w:before="0" w:after="300"/>
      </w:pPr>
      <w:r>
        <w:rPr>
          <w:rFonts w:ascii="calibri" w:hAnsi="calibri" w:eastAsia="calibri" w:cs="calibri"/>
          <w:sz w:val="24"/>
          <w:szCs w:val="24"/>
        </w:rPr>
        <w:t xml:space="preserve">Stabilność polityczna jest kluczowym czynnikiem wpływającym na zaufanie inwestorów do danej waluty.</w:t>
      </w:r>
    </w:p>
    <w:p>
      <w:pPr>
        <w:spacing w:before="0" w:after="300"/>
      </w:pPr>
      <w:r>
        <w:rPr>
          <w:rFonts w:ascii="calibri" w:hAnsi="calibri" w:eastAsia="calibri" w:cs="calibri"/>
          <w:sz w:val="24"/>
          <w:szCs w:val="24"/>
          <w:b/>
        </w:rPr>
        <w:t xml:space="preserve">Stabilność polityczna:</w:t>
      </w:r>
      <w:r>
        <w:rPr>
          <w:rFonts w:ascii="calibri" w:hAnsi="calibri" w:eastAsia="calibri" w:cs="calibri"/>
          <w:sz w:val="24"/>
          <w:szCs w:val="24"/>
        </w:rPr>
        <w:t xml:space="preserve"> Kraje o stabilnym systemie politycznym, niskim poziomie korupcji i przewidywalnych politykach gospodarczych przyciągają więcej inwestycji zagranicznych, co wzmacnia ich walutę. Przykładem może być Szwajcaria, która cieszy się reputacją kraju stabilnego politycznie i finansowo, co sprawia, że frank szwajcarski jest postrzegany jako bezpieczna przystań.</w:t>
      </w:r>
    </w:p>
    <w:p>
      <w:pPr>
        <w:spacing w:before="0" w:after="300"/>
      </w:pPr>
      <w:r>
        <w:rPr>
          <w:rFonts w:ascii="calibri" w:hAnsi="calibri" w:eastAsia="calibri" w:cs="calibri"/>
          <w:sz w:val="24"/>
          <w:szCs w:val="24"/>
          <w:b/>
        </w:rPr>
        <w:t xml:space="preserve">Ryzyko geopolityczne:</w:t>
      </w:r>
      <w:r>
        <w:rPr>
          <w:rFonts w:ascii="calibri" w:hAnsi="calibri" w:eastAsia="calibri" w:cs="calibri"/>
          <w:sz w:val="24"/>
          <w:szCs w:val="24"/>
        </w:rPr>
        <w:t xml:space="preserve"> Konflikty zbrojne, niestabilne rządy, terroryzm czy napięcia międzynarodowe mogą zwiększać ryzyko inwestycyjne, co prowadzi do deprecjacji waluty. Konflikty na Bliskim Wschodzie często wpływają na zmienność dolara amerykańskiego, ze względu na jego rolę waluty rezerwowej.</w:t>
      </w:r>
    </w:p>
    <w:p>
      <w:pPr>
        <w:spacing w:before="0" w:after="300"/>
      </w:pPr>
      <w:r>
        <w:rPr>
          <w:rFonts w:ascii="calibri" w:hAnsi="calibri" w:eastAsia="calibri" w:cs="calibri"/>
          <w:sz w:val="24"/>
          <w:szCs w:val="24"/>
        </w:rPr>
        <w:t xml:space="preserve">5. </w:t>
      </w:r>
      <w:r>
        <w:rPr>
          <w:rFonts w:ascii="calibri" w:hAnsi="calibri" w:eastAsia="calibri" w:cs="calibri"/>
          <w:sz w:val="24"/>
          <w:szCs w:val="24"/>
          <w:b/>
        </w:rPr>
        <w:t xml:space="preserve">Inwestycje zagraniczne</w:t>
      </w:r>
    </w:p>
    <w:p>
      <w:pPr>
        <w:spacing w:before="0" w:after="300"/>
      </w:pPr>
      <w:r>
        <w:rPr>
          <w:rFonts w:ascii="calibri" w:hAnsi="calibri" w:eastAsia="calibri" w:cs="calibri"/>
          <w:sz w:val="24"/>
          <w:szCs w:val="24"/>
        </w:rPr>
        <w:t xml:space="preserve">Bezpośrednie i portfelowe inwestycje zagraniczne wpływają na popyt na walutę kraju.</w:t>
      </w:r>
    </w:p>
    <w:p>
      <w:pPr>
        <w:spacing w:before="0" w:after="300"/>
      </w:pPr>
      <w:r>
        <w:rPr>
          <w:rFonts w:ascii="calibri" w:hAnsi="calibri" w:eastAsia="calibri" w:cs="calibri"/>
          <w:sz w:val="24"/>
          <w:szCs w:val="24"/>
          <w:b/>
        </w:rPr>
        <w:t xml:space="preserve">Bezpośrednie inwestycje zagraniczne (BIZ):</w:t>
      </w:r>
      <w:r>
        <w:rPr>
          <w:rFonts w:ascii="calibri" w:hAnsi="calibri" w:eastAsia="calibri" w:cs="calibri"/>
          <w:sz w:val="24"/>
          <w:szCs w:val="24"/>
        </w:rPr>
        <w:t xml:space="preserve"> Inwestorzy zagraniczni lokują kapitał w przedsiębiorstwach i nieruchomościach danego kraju, co generuje popyt na jego walutę. Na przykład napływ inwestycji zagranicznych do Indii w sektorze technologicznym przyczynił się do umocnienia rupii indyjskiej.</w:t>
      </w:r>
    </w:p>
    <w:p>
      <w:pPr>
        <w:spacing w:before="0" w:after="300"/>
      </w:pPr>
      <w:r>
        <w:rPr>
          <w:rFonts w:ascii="calibri" w:hAnsi="calibri" w:eastAsia="calibri" w:cs="calibri"/>
          <w:sz w:val="24"/>
          <w:szCs w:val="24"/>
          <w:b/>
        </w:rPr>
        <w:t xml:space="preserve">Inwestycje portfelowe:</w:t>
      </w:r>
      <w:r>
        <w:rPr>
          <w:rFonts w:ascii="calibri" w:hAnsi="calibri" w:eastAsia="calibri" w:cs="calibri"/>
          <w:sz w:val="24"/>
          <w:szCs w:val="24"/>
        </w:rPr>
        <w:t xml:space="preserve"> Inwestorzy kupują akcje, obligacje i inne papiery wartościowe emitowane przez dany kraj, co również zwiększa popyt na jego walutę. Rosnący rynek obligacji chińskich w ostatnich latach wspierał wartość juana.</w:t>
      </w:r>
    </w:p>
    <w:p>
      <w:pPr>
        <w:spacing w:before="0" w:after="300"/>
      </w:pPr>
      <w:r>
        <w:rPr>
          <w:rFonts w:ascii="calibri" w:hAnsi="calibri" w:eastAsia="calibri" w:cs="calibri"/>
          <w:sz w:val="24"/>
          <w:szCs w:val="24"/>
        </w:rPr>
        <w:t xml:space="preserve">6. </w:t>
      </w:r>
      <w:r>
        <w:rPr>
          <w:rFonts w:ascii="calibri" w:hAnsi="calibri" w:eastAsia="calibri" w:cs="calibri"/>
          <w:sz w:val="24"/>
          <w:szCs w:val="24"/>
          <w:b/>
        </w:rPr>
        <w:t xml:space="preserve">Spekulacje na rynku walutowym</w:t>
      </w:r>
    </w:p>
    <w:p>
      <w:pPr>
        <w:spacing w:before="0" w:after="300"/>
      </w:pPr>
      <w:r>
        <w:rPr>
          <w:rFonts w:ascii="calibri" w:hAnsi="calibri" w:eastAsia="calibri" w:cs="calibri"/>
          <w:sz w:val="24"/>
          <w:szCs w:val="24"/>
        </w:rPr>
        <w:t xml:space="preserve">Ruchy spekulantów mogą znacząco wpływać na krótkoterminowe zmiany kursów walut.</w:t>
      </w:r>
    </w:p>
    <w:p>
      <w:pPr>
        <w:spacing w:before="0" w:after="300"/>
      </w:pPr>
      <w:r>
        <w:rPr>
          <w:rFonts w:ascii="calibri" w:hAnsi="calibri" w:eastAsia="calibri" w:cs="calibri"/>
          <w:sz w:val="24"/>
          <w:szCs w:val="24"/>
          <w:b/>
        </w:rPr>
        <w:t xml:space="preserve">Rola spekulantów:</w:t>
      </w:r>
      <w:r>
        <w:rPr>
          <w:rFonts w:ascii="calibri" w:hAnsi="calibri" w:eastAsia="calibri" w:cs="calibri"/>
          <w:sz w:val="24"/>
          <w:szCs w:val="24"/>
        </w:rPr>
        <w:t xml:space="preserve"> Spekulanci przewidujący przyszłe zmiany ekonomiczne lub polityczne kupują lub sprzedają waluty, co może prowadzić do gwałtownych wahań kursów. Na przykład, spekulacyjne zakupy euro przed przejściem na euro w 1999 roku przyczyniły się do jego wzmocnienia.</w:t>
      </w:r>
    </w:p>
    <w:p>
      <w:pPr>
        <w:spacing w:before="0" w:after="300"/>
      </w:pPr>
      <w:r>
        <w:rPr>
          <w:rFonts w:ascii="calibri" w:hAnsi="calibri" w:eastAsia="calibri" w:cs="calibri"/>
          <w:sz w:val="24"/>
          <w:szCs w:val="24"/>
          <w:b/>
        </w:rPr>
        <w:t xml:space="preserve">Mechanizm self-fulfilling:</w:t>
      </w:r>
      <w:r>
        <w:rPr>
          <w:rFonts w:ascii="calibri" w:hAnsi="calibri" w:eastAsia="calibri" w:cs="calibri"/>
          <w:sz w:val="24"/>
          <w:szCs w:val="24"/>
        </w:rPr>
        <w:t xml:space="preserve"> Czasami działania spekulantów mogą stać się samospełniającymi się proroctwami, gdzie oczekiwania dotyczące kursu waluty wpływają na jej rzeczywisty kurs. Jeśli wielu inwestorów oczekuje aprecjacji waluty, ich działania mogą faktycznie ją podnieść.</w:t>
      </w:r>
    </w:p>
    <w:p>
      <w:pPr>
        <w:spacing w:before="0" w:after="300"/>
      </w:pPr>
      <w:r>
        <w:rPr>
          <w:rFonts w:ascii="calibri" w:hAnsi="calibri" w:eastAsia="calibri" w:cs="calibri"/>
          <w:sz w:val="24"/>
          <w:szCs w:val="24"/>
        </w:rPr>
        <w:t xml:space="preserve">7. </w:t>
      </w:r>
      <w:r>
        <w:rPr>
          <w:rFonts w:ascii="calibri" w:hAnsi="calibri" w:eastAsia="calibri" w:cs="calibri"/>
          <w:sz w:val="24"/>
          <w:szCs w:val="24"/>
          <w:b/>
        </w:rPr>
        <w:t xml:space="preserve">Inflacja</w:t>
      </w:r>
    </w:p>
    <w:p>
      <w:pPr>
        <w:spacing w:before="0" w:after="300"/>
      </w:pPr>
      <w:r>
        <w:rPr>
          <w:rFonts w:ascii="calibri" w:hAnsi="calibri" w:eastAsia="calibri" w:cs="calibri"/>
          <w:sz w:val="24"/>
          <w:szCs w:val="24"/>
        </w:rPr>
        <w:t xml:space="preserve">Inflacja wpływa na siłę nabywczą waluty oraz jej konkurencyjność na rynkach międzynarodowych.</w:t>
      </w:r>
    </w:p>
    <w:p>
      <w:pPr>
        <w:spacing w:before="0" w:after="300"/>
      </w:pPr>
      <w:r>
        <w:rPr>
          <w:rFonts w:ascii="calibri" w:hAnsi="calibri" w:eastAsia="calibri" w:cs="calibri"/>
          <w:sz w:val="24"/>
          <w:szCs w:val="24"/>
          <w:b/>
        </w:rPr>
        <w:t xml:space="preserve">Wpływ inflacji na wartość waluty:</w:t>
      </w:r>
      <w:r>
        <w:rPr>
          <w:rFonts w:ascii="calibri" w:hAnsi="calibri" w:eastAsia="calibri" w:cs="calibri"/>
          <w:sz w:val="24"/>
          <w:szCs w:val="24"/>
        </w:rPr>
        <w:t xml:space="preserve"> Kraje o niższej inflacji zazwyczaj doświadczają wzrostu wartości swojej waluty, ponieważ ich towary i usługi są bardziej konkurencyjne. Na przykład, stabilna inflacja w Niemczech wspierała wartość euro na przestrzeni lat.</w:t>
      </w:r>
    </w:p>
    <w:p>
      <w:pPr>
        <w:spacing w:before="0" w:after="300"/>
      </w:pPr>
      <w:r>
        <w:rPr>
          <w:rFonts w:ascii="calibri" w:hAnsi="calibri" w:eastAsia="calibri" w:cs="calibri"/>
          <w:sz w:val="24"/>
          <w:szCs w:val="24"/>
          <w:b/>
        </w:rPr>
        <w:t xml:space="preserve">Depresja siły nabywczej:</w:t>
      </w:r>
      <w:r>
        <w:rPr>
          <w:rFonts w:ascii="calibri" w:hAnsi="calibri" w:eastAsia="calibri" w:cs="calibri"/>
          <w:sz w:val="24"/>
          <w:szCs w:val="24"/>
        </w:rPr>
        <w:t xml:space="preserve"> Wysoka inflacja eroduje siłę nabywczą waluty, co może prowadzić do jej deprecjacji. W przypadku Wenezueli hiperinflacja w ostatnich latach doprowadziła do dramatycznego spadku wartości boliwara.</w:t>
      </w:r>
    </w:p>
    <w:p>
      <w:pPr>
        <w:spacing w:before="0" w:after="300"/>
      </w:pPr>
      <w:r>
        <w:rPr>
          <w:rFonts w:ascii="calibri" w:hAnsi="calibri" w:eastAsia="calibri" w:cs="calibri"/>
          <w:sz w:val="24"/>
          <w:szCs w:val="24"/>
        </w:rPr>
        <w:t xml:space="preserve">8. </w:t>
      </w:r>
      <w:r>
        <w:rPr>
          <w:rFonts w:ascii="calibri" w:hAnsi="calibri" w:eastAsia="calibri" w:cs="calibri"/>
          <w:sz w:val="24"/>
          <w:szCs w:val="24"/>
          <w:b/>
        </w:rPr>
        <w:t xml:space="preserve">Rynki surowcowe</w:t>
      </w:r>
    </w:p>
    <w:p>
      <w:pPr>
        <w:spacing w:before="0" w:after="300"/>
      </w:pPr>
      <w:r>
        <w:rPr>
          <w:rFonts w:ascii="calibri" w:hAnsi="calibri" w:eastAsia="calibri" w:cs="calibri"/>
          <w:sz w:val="24"/>
          <w:szCs w:val="24"/>
        </w:rPr>
        <w:t xml:space="preserve">Dla krajów eksportujących surowce, takie jak ropa naftowa, gaz czy metale, ceny na rynkach światowych mają istotny wpływ na kurs </w:t>
      </w:r>
      <w:hyperlink r:id="rId7" w:history="1">
        <w:r>
          <w:rPr>
            <w:rFonts w:ascii="calibri" w:hAnsi="calibri" w:eastAsia="calibri" w:cs="calibri"/>
            <w:color w:val="0000FF"/>
            <w:sz w:val="24"/>
            <w:szCs w:val="24"/>
            <w:u w:val="single"/>
          </w:rPr>
          <w:t xml:space="preserve">waluty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Zależność od cen surowców:</w:t>
      </w:r>
      <w:r>
        <w:rPr>
          <w:rFonts w:ascii="calibri" w:hAnsi="calibri" w:eastAsia="calibri" w:cs="calibri"/>
          <w:sz w:val="24"/>
          <w:szCs w:val="24"/>
        </w:rPr>
        <w:t xml:space="preserve"> Wzrost cen surowców zwiększa dochody z eksportu, co może wzmocnić walutę kraju. Na przykład, wzrost cen ropy naftowej w 2021 roku przyczynił się do umocnienia dolara kanadyjskiego, ze względu na znaczący eksport ropy przez Kanadę.</w:t>
      </w:r>
    </w:p>
    <w:p>
      <w:pPr>
        <w:spacing w:before="0" w:after="300"/>
      </w:pPr>
      <w:r>
        <w:rPr>
          <w:rFonts w:ascii="calibri" w:hAnsi="calibri" w:eastAsia="calibri" w:cs="calibri"/>
          <w:sz w:val="24"/>
          <w:szCs w:val="24"/>
          <w:b/>
        </w:rPr>
        <w:t xml:space="preserve">Wahania cen surowców:</w:t>
      </w:r>
      <w:r>
        <w:rPr>
          <w:rFonts w:ascii="calibri" w:hAnsi="calibri" w:eastAsia="calibri" w:cs="calibri"/>
          <w:sz w:val="24"/>
          <w:szCs w:val="24"/>
        </w:rPr>
        <w:t xml:space="preserve"> Spadki cen surowców mają odwrotny efekt, osłabiając walutę poprzez zmniejszenie dochodów eksportowych. Kryzys cen ropy naftowej w 2020 roku znacząco osłabił waluty krajów zależnych od eksportu ropy, takich jak Nigeria czy Rosja.</w:t>
      </w:r>
    </w:p>
    <w:p>
      <w:pPr>
        <w:spacing w:before="0" w:after="300"/>
      </w:pPr>
      <w:r>
        <w:rPr>
          <w:rFonts w:ascii="calibri" w:hAnsi="calibri" w:eastAsia="calibri" w:cs="calibri"/>
          <w:sz w:val="24"/>
          <w:szCs w:val="24"/>
        </w:rPr>
        <w:t xml:space="preserve">9. </w:t>
      </w:r>
      <w:r>
        <w:rPr>
          <w:rFonts w:ascii="calibri" w:hAnsi="calibri" w:eastAsia="calibri" w:cs="calibri"/>
          <w:sz w:val="24"/>
          <w:szCs w:val="24"/>
          <w:b/>
        </w:rPr>
        <w:t xml:space="preserve">Interwencje banków centralnych</w:t>
      </w:r>
    </w:p>
    <w:p>
      <w:pPr>
        <w:spacing w:before="0" w:after="300"/>
      </w:pPr>
      <w:r>
        <w:rPr>
          <w:rFonts w:ascii="calibri" w:hAnsi="calibri" w:eastAsia="calibri" w:cs="calibri"/>
          <w:sz w:val="24"/>
          <w:szCs w:val="24"/>
        </w:rPr>
        <w:t xml:space="preserve">Banki centralne mogą bezpośrednio wpływać na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poprzez interwencje na rynku walutowym.</w:t>
      </w:r>
    </w:p>
    <w:p>
      <w:pPr>
        <w:spacing w:before="0" w:after="300"/>
      </w:pPr>
      <w:r>
        <w:rPr>
          <w:rFonts w:ascii="calibri" w:hAnsi="calibri" w:eastAsia="calibri" w:cs="calibri"/>
          <w:sz w:val="24"/>
          <w:szCs w:val="24"/>
          <w:b/>
        </w:rPr>
        <w:t xml:space="preserve">Interwencje na rynku walutowym:</w:t>
      </w:r>
      <w:r>
        <w:rPr>
          <w:rFonts w:ascii="calibri" w:hAnsi="calibri" w:eastAsia="calibri" w:cs="calibri"/>
          <w:sz w:val="24"/>
          <w:szCs w:val="24"/>
        </w:rPr>
        <w:t xml:space="preserve"> Kupując lub sprzedając własną walutę, bank centralny może stabilizować jej wartość lub próbować osiągnąć określone cele ekonomiczne. Przykładem jest interwencja Banku Japonii w celu osłabienia jena, aby wspierać eksport.</w:t>
      </w:r>
    </w:p>
    <w:p>
      <w:pPr>
        <w:spacing w:before="0" w:after="300"/>
      </w:pPr>
      <w:r>
        <w:rPr>
          <w:rFonts w:ascii="calibri" w:hAnsi="calibri" w:eastAsia="calibri" w:cs="calibri"/>
          <w:sz w:val="24"/>
          <w:szCs w:val="24"/>
          <w:b/>
        </w:rPr>
        <w:t xml:space="preserve">Polityka kursowa:</w:t>
      </w:r>
      <w:r>
        <w:rPr>
          <w:rFonts w:ascii="calibri" w:hAnsi="calibri" w:eastAsia="calibri" w:cs="calibri"/>
          <w:sz w:val="24"/>
          <w:szCs w:val="24"/>
        </w:rPr>
        <w:t xml:space="preserve"> Niektóre kraje</w:t>
      </w:r>
    </w:p>
    <w:p>
      <w:pPr>
        <w:spacing w:before="0" w:after="300"/>
      </w:pPr>
      <w:r>
        <w:rPr>
          <w:rFonts w:ascii="calibri" w:hAnsi="calibri" w:eastAsia="calibri" w:cs="calibri"/>
          <w:sz w:val="24"/>
          <w:szCs w:val="24"/>
          <w:b/>
        </w:rPr>
        <w:t xml:space="preserve">kontrolują kurs swojej waluty</w:t>
      </w:r>
      <w:r>
        <w:rPr>
          <w:rFonts w:ascii="calibri" w:hAnsi="calibri" w:eastAsia="calibri" w:cs="calibri"/>
          <w:sz w:val="24"/>
          <w:szCs w:val="24"/>
        </w:rPr>
        <w:t xml:space="preserve"> poprzez ustalanie jego wartości w stosunku do innych walut. Na przykład Chiny przez wiele lat utrzymywały juana na stałym poziomie w stosunku do dolara amerykańskiego, co wspierało ich eksport.</w:t>
      </w:r>
    </w:p>
    <w:p>
      <w:pPr>
        <w:spacing w:before="0" w:after="300"/>
      </w:pPr>
      <w:r>
        <w:rPr>
          <w:rFonts w:ascii="calibri" w:hAnsi="calibri" w:eastAsia="calibri" w:cs="calibri"/>
          <w:sz w:val="24"/>
          <w:szCs w:val="24"/>
        </w:rPr>
        <w:t xml:space="preserve">10. </w:t>
      </w:r>
      <w:r>
        <w:rPr>
          <w:rFonts w:ascii="calibri" w:hAnsi="calibri" w:eastAsia="calibri" w:cs="calibri"/>
          <w:sz w:val="24"/>
          <w:szCs w:val="24"/>
          <w:b/>
        </w:rPr>
        <w:t xml:space="preserve">Globalne trendy ekonomiczne</w:t>
      </w:r>
    </w:p>
    <w:p>
      <w:pPr>
        <w:spacing w:before="0" w:after="300"/>
      </w:pPr>
      <w:r>
        <w:rPr>
          <w:rFonts w:ascii="calibri" w:hAnsi="calibri" w:eastAsia="calibri" w:cs="calibri"/>
          <w:sz w:val="24"/>
          <w:szCs w:val="24"/>
        </w:rPr>
        <w:t xml:space="preserve">Globalne trendy, takie jak zmiany w gospodarce światowej, postęp technologiczny czy transformacje w handlu międzynarodowym, również wpływają na kursy walut.</w:t>
      </w:r>
    </w:p>
    <w:p>
      <w:pPr>
        <w:spacing w:before="0" w:after="300"/>
      </w:pPr>
      <w:r>
        <w:rPr>
          <w:rFonts w:ascii="calibri" w:hAnsi="calibri" w:eastAsia="calibri" w:cs="calibri"/>
          <w:sz w:val="24"/>
          <w:szCs w:val="24"/>
          <w:b/>
        </w:rPr>
        <w:t xml:space="preserve">Globalny wzrost gospodarczy:</w:t>
      </w:r>
      <w:r>
        <w:rPr>
          <w:rFonts w:ascii="calibri" w:hAnsi="calibri" w:eastAsia="calibri" w:cs="calibri"/>
          <w:sz w:val="24"/>
          <w:szCs w:val="24"/>
        </w:rPr>
        <w:t xml:space="preserve"> Silny wzrost gospodarczy w kluczowych regionach, takich jak Chiny czy Unia Europejska, może zwiększać popyt na dolara amerykańskiego jako waluty rezerwowej, wpływając na jego wartość w stosunku do innych walut.</w:t>
      </w:r>
    </w:p>
    <w:p>
      <w:pPr>
        <w:spacing w:before="0" w:after="300"/>
      </w:pPr>
      <w:r>
        <w:rPr>
          <w:rFonts w:ascii="calibri" w:hAnsi="calibri" w:eastAsia="calibri" w:cs="calibri"/>
          <w:sz w:val="24"/>
          <w:szCs w:val="24"/>
          <w:b/>
        </w:rPr>
        <w:t xml:space="preserve">Postęp technologiczny:</w:t>
      </w:r>
      <w:r>
        <w:rPr>
          <w:rFonts w:ascii="calibri" w:hAnsi="calibri" w:eastAsia="calibri" w:cs="calibri"/>
          <w:sz w:val="24"/>
          <w:szCs w:val="24"/>
        </w:rPr>
        <w:t xml:space="preserve"> Innowacje technologiczne, zwłaszcza w sektorze finansowym, mogą zmieniać dynamikę rynku walutowego. Rozwój fintech, blockchain czy kryptowalut wprowadza nowe elementy do handlu walutami, wpływając na ich kursy.</w:t>
      </w:r>
    </w:p>
    <w:p>
      <w:pPr>
        <w:spacing w:before="0" w:after="300"/>
      </w:pPr>
      <w:r>
        <w:rPr>
          <w:rFonts w:ascii="calibri" w:hAnsi="calibri" w:eastAsia="calibri" w:cs="calibri"/>
          <w:sz w:val="24"/>
          <w:szCs w:val="24"/>
          <w:b/>
        </w:rPr>
        <w:t xml:space="preserve">Zmiany w handlu międzynarodowym:</w:t>
      </w:r>
      <w:r>
        <w:rPr>
          <w:rFonts w:ascii="calibri" w:hAnsi="calibri" w:eastAsia="calibri" w:cs="calibri"/>
          <w:sz w:val="24"/>
          <w:szCs w:val="24"/>
        </w:rPr>
        <w:t xml:space="preserve"> Umowy handlowe, takie jak NAFTA czy TPP, oraz konflikty handlowe, jak wojna handlowa USA z Chinami, mają znaczący wpływ na kursy walut poprzez zmiany w bilansie handlowym i przepływach kapitałowych.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walutowe są kształtowane przez złożoną kombinację czynników ekonomicznych, politycznych i społecznych. Polityka monetarna, stan gospodarki, równowaga handlowa, stabilność polityczna, inwestycje zagraniczne, spekulacje, inflacja, rynki surowcowe, interwencje banków centralnych oraz globalne trendy ekonomiczne odgrywają kluczowe role w kształtowaniu wartości walut na świecie.</w:t>
      </w:r>
    </w:p>
    <w:p>
      <w:pPr>
        <w:spacing w:before="0" w:after="300"/>
      </w:pPr>
      <w:r>
        <w:rPr>
          <w:rFonts w:ascii="calibri" w:hAnsi="calibri" w:eastAsia="calibri" w:cs="calibri"/>
          <w:sz w:val="24"/>
          <w:szCs w:val="24"/>
        </w:rPr>
        <w:t xml:space="preserve">Zrozumienie tych czynników pozwala lepiej przewidywać zmiany na rynku walutowym i podejmować świadome decyzje inwestycyjne czy biznesowe. W dynamicznym i globalnym środowisku gospodarczym, monitorowanie kluczowych determinant kursów walut jest niezbędne dla utrzymania konkurencyjności i stabilności finansowej. Przedsiębiorstwa działające na rynkach międzynarodowych oraz inwestorzy indywidualni mogą korzystać z tej wiedzy, aby minimalizować ryzyko i maksymalizować korzyści płynące ze zmian kursowych.</w:t>
      </w:r>
    </w:p>
    <w:p>
      <w:pPr>
        <w:spacing w:before="0" w:after="200"/>
      </w:pPr>
      <w:r>
        <w:rPr>
          <w:rFonts w:ascii="calibri" w:hAnsi="calibri" w:eastAsia="calibri" w:cs="calibri"/>
          <w:sz w:val="28"/>
          <w:szCs w:val="28"/>
          <w:b/>
        </w:rPr>
        <w:t xml:space="preserve">Dodatkowe czynniki wpływające na kursy walut</w:t>
      </w:r>
    </w:p>
    <w:p>
      <w:pPr>
        <w:spacing w:before="0" w:after="300"/>
      </w:pPr>
      <w:r>
        <w:rPr>
          <w:rFonts w:ascii="calibri" w:hAnsi="calibri" w:eastAsia="calibri" w:cs="calibri"/>
          <w:sz w:val="24"/>
          <w:szCs w:val="24"/>
        </w:rPr>
        <w:t xml:space="preserve">Oprócz wymienionych powyżej, istnieją także inne czynniki, które mogą wpływać na kursy walut, choć często w mniej bezpośredni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Rynki finansowe i instrumenty pochodne: Rynek walutowy jest silnie powiązany z innymi rynkami finansowymi. Ceny akcji, obligacji czy surowców mogą wpływać na kursy walut poprzez zmiany w alokacji kapitału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Sentiment rynkowy: Nastroje inwestorów, często kształtowane przez media, raporty analityczne czy social media, mogą wpływać na kursy walut poprzez zmiany w popycie i podaży.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Techniczna analiza kursów walut: Wielu traderów wykorzystuje analizy techniczne do podejmowania decyzji inwestycyjnych, co może prowadzić do krótkoterminowych wahań kursów walut na podstawie trendów i wzorców historycznych.</w:t>
      </w:r>
    </w:p>
    <w:p>
      <w:pPr>
        <w:spacing w:before="0" w:after="200"/>
      </w:pPr>
      <w:r>
        <w:rPr>
          <w:rFonts w:ascii="calibri" w:hAnsi="calibri" w:eastAsia="calibri" w:cs="calibri"/>
          <w:sz w:val="28"/>
          <w:szCs w:val="28"/>
          <w:b/>
        </w:rPr>
        <w:t xml:space="preserve">Przyszłość kursów walutowych</w:t>
      </w:r>
    </w:p>
    <w:p>
      <w:pPr>
        <w:spacing w:before="0" w:after="300"/>
      </w:pPr>
      <w:r>
        <w:rPr>
          <w:rFonts w:ascii="calibri" w:hAnsi="calibri" w:eastAsia="calibri" w:cs="calibri"/>
          <w:sz w:val="24"/>
          <w:szCs w:val="24"/>
        </w:rPr>
        <w:t xml:space="preserve">Przewidywanie przyszłych </w:t>
      </w:r>
      <w:hyperlink r:id="rId9" w:history="1">
        <w:r>
          <w:rPr>
            <w:rFonts w:ascii="calibri" w:hAnsi="calibri" w:eastAsia="calibri" w:cs="calibri"/>
            <w:color w:val="0000FF"/>
            <w:sz w:val="24"/>
            <w:szCs w:val="24"/>
            <w:u w:val="single"/>
          </w:rPr>
          <w:t xml:space="preserve">zmian kursów walutowych</w:t>
        </w:r>
      </w:hyperlink>
      <w:r>
        <w:rPr>
          <w:rFonts w:ascii="calibri" w:hAnsi="calibri" w:eastAsia="calibri" w:cs="calibri"/>
          <w:sz w:val="24"/>
          <w:szCs w:val="24"/>
        </w:rPr>
        <w:t xml:space="preserve"> jest niezwykle trudne ze względu na wiele zmiennych i ich wzajemne powiązania. Jednak analiza kluczowych czynników, takich jak polityka monetarna, stan gospodarki oraz stabilność polityczna, może dostarczyć cennych wskazówek. W obliczu rosnącej globalizacji i dynamicznych zmian technologicznych, kursy walutowe będą nadal odgrywać istotną rolę w kształtowaniu gospodarczej rzeczywistości świata.</w:t>
      </w:r>
    </w:p>
    <w:p>
      <w:pPr>
        <w:spacing w:before="0" w:after="300"/>
      </w:pPr>
      <w:r>
        <w:rPr>
          <w:rFonts w:ascii="calibri" w:hAnsi="calibri" w:eastAsia="calibri" w:cs="calibri"/>
          <w:sz w:val="24"/>
          <w:szCs w:val="24"/>
        </w:rPr>
        <w:t xml:space="preserve">Dla inwestorów i przedsiębiorców kluczowe jest ciągłe monitorowanie tych czynników oraz adaptacja strategii inwestycyjnych i biznesowych do zmieniających się warunków rynkowych. Dzięki temu możliwe jest lepsze zarządzanie ryzykiem i wykorzystanie pojawiających się okazji na rynku walutowym.</w:t>
      </w:r>
    </w:p>
    <w:p>
      <w:pPr>
        <w:spacing w:before="0" w:after="200"/>
      </w:pPr>
      <w:r>
        <w:rPr>
          <w:rFonts w:ascii="calibri" w:hAnsi="calibri" w:eastAsia="calibri" w:cs="calibri"/>
          <w:sz w:val="28"/>
          <w:szCs w:val="28"/>
          <w:b/>
        </w:rPr>
        <w:t xml:space="preserve">Źródła i dalsza lektura</w:t>
      </w:r>
    </w:p>
    <w:p>
      <w:pPr>
        <w:spacing w:before="0" w:after="300"/>
      </w:pPr>
      <w:r>
        <w:rPr>
          <w:rFonts w:ascii="calibri" w:hAnsi="calibri" w:eastAsia="calibri" w:cs="calibri"/>
          <w:sz w:val="24"/>
          <w:szCs w:val="24"/>
        </w:rPr>
        <w:t xml:space="preserve">Aby pogłębić wiedzę na temat kursów walutowych i czynników je kształtujących, warto sięgnąć po publikacje takich instytucji jak Międzynarodowy Fundusz Walutowy (IMF), Bank Światowy, Europejski Bank Centralny (EBC), Rezerwa Federalna (Fed) oraz liczne analizy i raporty ekonomiczne dostępne w renomowanych mediach finansowych.</w:t>
      </w:r>
    </w:p>
    <w:p>
      <w:pPr>
        <w:spacing w:before="0" w:after="200"/>
      </w:pPr>
      <w:r>
        <w:rPr>
          <w:rFonts w:ascii="calibri" w:hAnsi="calibri" w:eastAsia="calibri" w:cs="calibri"/>
          <w:sz w:val="28"/>
          <w:szCs w:val="28"/>
          <w:b/>
        </w:rPr>
        <w:t xml:space="preserve">O autorze</w:t>
      </w:r>
    </w:p>
    <w:p>
      <w:pPr>
        <w:spacing w:before="0" w:after="300"/>
      </w:pPr>
      <w:r>
        <w:rPr>
          <w:rFonts w:ascii="calibri" w:hAnsi="calibri" w:eastAsia="calibri" w:cs="calibri"/>
          <w:sz w:val="24"/>
          <w:szCs w:val="24"/>
          <w:b/>
        </w:rPr>
        <w:t xml:space="preserve">Kursy-walut.com</w:t>
      </w:r>
      <w:r>
        <w:rPr>
          <w:rFonts w:ascii="calibri" w:hAnsi="calibri" w:eastAsia="calibri" w:cs="calibri"/>
          <w:sz w:val="24"/>
          <w:szCs w:val="24"/>
        </w:rPr>
        <w:t xml:space="preserve"> to wiodący portal specjalizujący się w dostarczaniu najnowszych informacji, analiz i prognoz dotyczących rynku walutowego. Nasz zespół ekspertów łączy wiedzę ekonomiczną z praktycznym doświadczeniem, aby zapewnić naszym czytelnikom rzetelne i aktualne dane, które pomagają w podejmowaniu świadomych decyzji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category/waluty/" TargetMode="External"/><Relationship Id="rId8" Type="http://schemas.openxmlformats.org/officeDocument/2006/relationships/hyperlink" Target="https://kursy-walut.com" TargetMode="External"/><Relationship Id="rId9" Type="http://schemas.openxmlformats.org/officeDocument/2006/relationships/hyperlink" Target="https://kursy-walut.com/rodzaje-kursow-wymian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2025-12-26T20:38:44+01:00</dcterms:created>
  <dcterms:modified xsi:type="dcterms:W3CDTF">2025-12-26T20:38:44+01:00</dcterms:modified>
</cp:coreProperties>
</file>

<file path=docProps/custom.xml><?xml version="1.0" encoding="utf-8"?>
<Properties xmlns="http://schemas.openxmlformats.org/officeDocument/2006/custom-properties" xmlns:vt="http://schemas.openxmlformats.org/officeDocument/2006/docPropsVTypes"/>
</file>